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 xml:space="preserve">                        </w:t>
      </w:r>
      <w:r>
        <w:rPr>
          <w:rFonts w:hint="eastAsia" w:asciiTheme="majorEastAsia" w:hAnsiTheme="majorEastAsia" w:eastAsiaTheme="majorEastAsia"/>
          <w:b/>
          <w:sz w:val="44"/>
          <w:szCs w:val="44"/>
        </w:rPr>
        <w:t>收入支出决算总表</w:t>
      </w:r>
    </w:p>
    <w:tbl>
      <w:tblPr>
        <w:tblStyle w:val="7"/>
        <w:tblW w:w="12372" w:type="dxa"/>
        <w:tblInd w:w="1061" w:type="dxa"/>
        <w:tblLayout w:type="fixed"/>
        <w:tblCellMar>
          <w:top w:w="0" w:type="dxa"/>
          <w:left w:w="108" w:type="dxa"/>
          <w:bottom w:w="0" w:type="dxa"/>
          <w:right w:w="108" w:type="dxa"/>
        </w:tblCellMar>
      </w:tblPr>
      <w:tblGrid>
        <w:gridCol w:w="3820"/>
        <w:gridCol w:w="580"/>
        <w:gridCol w:w="1800"/>
        <w:gridCol w:w="3280"/>
        <w:gridCol w:w="580"/>
        <w:gridCol w:w="2312"/>
      </w:tblGrid>
      <w:tr>
        <w:tblPrEx>
          <w:tblLayout w:type="fixed"/>
          <w:tblCellMar>
            <w:top w:w="0" w:type="dxa"/>
            <w:left w:w="108" w:type="dxa"/>
            <w:bottom w:w="0" w:type="dxa"/>
            <w:right w:w="108" w:type="dxa"/>
          </w:tblCellMar>
        </w:tblPrEx>
        <w:trPr>
          <w:trHeight w:val="300" w:hRule="atLeast"/>
        </w:trPr>
        <w:tc>
          <w:tcPr>
            <w:tcW w:w="38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2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312"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公开01表</w:t>
            </w:r>
          </w:p>
        </w:tc>
      </w:tr>
      <w:tr>
        <w:tblPrEx>
          <w:tblLayout w:type="fixed"/>
          <w:tblCellMar>
            <w:top w:w="0" w:type="dxa"/>
            <w:left w:w="108" w:type="dxa"/>
            <w:bottom w:w="0" w:type="dxa"/>
            <w:right w:w="108" w:type="dxa"/>
          </w:tblCellMar>
        </w:tblPrEx>
        <w:trPr>
          <w:trHeight w:val="300" w:hRule="atLeast"/>
        </w:trPr>
        <w:tc>
          <w:tcPr>
            <w:tcW w:w="3820" w:type="dxa"/>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部门：武当山旅游经济特区教育局</w:t>
            </w:r>
          </w:p>
        </w:tc>
        <w:tc>
          <w:tcPr>
            <w:tcW w:w="5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180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2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58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312"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金额单位：万元</w:t>
            </w:r>
          </w:p>
        </w:tc>
      </w:tr>
      <w:tr>
        <w:tblPrEx>
          <w:tblLayout w:type="fixed"/>
          <w:tblCellMar>
            <w:top w:w="0" w:type="dxa"/>
            <w:left w:w="108" w:type="dxa"/>
            <w:bottom w:w="0" w:type="dxa"/>
            <w:right w:w="108" w:type="dxa"/>
          </w:tblCellMar>
        </w:tblPrEx>
        <w:trPr>
          <w:trHeight w:val="308" w:hRule="atLeast"/>
        </w:trPr>
        <w:tc>
          <w:tcPr>
            <w:tcW w:w="6200" w:type="dxa"/>
            <w:gridSpan w:val="3"/>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收入</w:t>
            </w:r>
          </w:p>
        </w:tc>
        <w:tc>
          <w:tcPr>
            <w:tcW w:w="6172" w:type="dxa"/>
            <w:gridSpan w:val="3"/>
            <w:tcBorders>
              <w:top w:val="single" w:color="000000" w:sz="8" w:space="0"/>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c>
          <w:tcPr>
            <w:tcW w:w="32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行次</w:t>
            </w:r>
          </w:p>
        </w:tc>
        <w:tc>
          <w:tcPr>
            <w:tcW w:w="2312"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决算数</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32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w:t>
            </w:r>
          </w:p>
        </w:tc>
        <w:tc>
          <w:tcPr>
            <w:tcW w:w="2312"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一、财政拨款收入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1,187.71</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29</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其中：政府性基金预算财政拨款</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30</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二、上级补助收入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31</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三、事业收入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32</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四、经营收入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33</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1,066.78</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五、附属单位上缴收入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34</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六、其他收入</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0.14</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七、文化体育与传媒支出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35</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8</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36</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10.55</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9</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九、医疗卫生与计划生育支出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37</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二十二、债务还本支出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50</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23</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二十三、债务付息支出</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51</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24</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1,187.85</w:t>
            </w:r>
          </w:p>
        </w:tc>
        <w:tc>
          <w:tcPr>
            <w:tcW w:w="32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52</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1,083.23</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用事业基金弥补收支差额</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25</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结余分配</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53</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年初结转和结余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26</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84.56</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年末结转和结余</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54</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189.19</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8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3280" w:type="dxa"/>
            <w:tcBorders>
              <w:top w:val="nil"/>
              <w:left w:val="nil"/>
              <w:bottom w:val="single" w:color="000000" w:sz="4" w:space="0"/>
              <w:right w:val="single" w:color="000000" w:sz="4" w:space="0"/>
            </w:tcBorders>
            <w:shd w:val="clear" w:color="FFFFFF" w:fill="C0C0C0"/>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w:t>
            </w:r>
          </w:p>
        </w:tc>
        <w:tc>
          <w:tcPr>
            <w:tcW w:w="5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55</w:t>
            </w:r>
          </w:p>
        </w:tc>
        <w:tc>
          <w:tcPr>
            <w:tcW w:w="231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3820" w:type="dxa"/>
            <w:tcBorders>
              <w:top w:val="nil"/>
              <w:left w:val="single" w:color="000000" w:sz="8" w:space="0"/>
              <w:bottom w:val="single" w:color="000000" w:sz="8" w:space="0"/>
              <w:right w:val="single" w:color="000000" w:sz="4" w:space="0"/>
            </w:tcBorders>
            <w:shd w:val="clear" w:color="FFFFFF" w:fill="C0C0C0"/>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28</w:t>
            </w:r>
          </w:p>
        </w:tc>
        <w:tc>
          <w:tcPr>
            <w:tcW w:w="180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1,272.41</w:t>
            </w:r>
          </w:p>
        </w:tc>
        <w:tc>
          <w:tcPr>
            <w:tcW w:w="3280"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eastAsia="宋体" w:cs="Arial"/>
                <w:b/>
                <w:bCs/>
                <w:color w:val="000000"/>
                <w:kern w:val="0"/>
                <w:sz w:val="22"/>
              </w:rPr>
            </w:pPr>
            <w:r>
              <w:rPr>
                <w:rFonts w:hint="eastAsia" w:ascii="宋体" w:hAnsi="宋体" w:eastAsia="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56</w:t>
            </w:r>
          </w:p>
        </w:tc>
        <w:tc>
          <w:tcPr>
            <w:tcW w:w="2312"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1,272.41</w:t>
            </w:r>
          </w:p>
        </w:tc>
      </w:tr>
      <w:tr>
        <w:tblPrEx>
          <w:tblLayout w:type="fixed"/>
          <w:tblCellMar>
            <w:top w:w="0" w:type="dxa"/>
            <w:left w:w="108" w:type="dxa"/>
            <w:bottom w:w="0" w:type="dxa"/>
            <w:right w:w="108" w:type="dxa"/>
          </w:tblCellMar>
        </w:tblPrEx>
        <w:trPr>
          <w:trHeight w:val="308" w:hRule="atLeast"/>
        </w:trPr>
        <w:tc>
          <w:tcPr>
            <w:tcW w:w="12372" w:type="dxa"/>
            <w:gridSpan w:val="6"/>
            <w:tcBorders>
              <w:top w:val="single" w:color="000000" w:sz="4" w:space="0"/>
              <w:left w:val="single" w:color="000000" w:sz="8" w:space="0"/>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注：本表反映部门本年度的总收支和年末结转结余情况。</w:t>
            </w:r>
          </w:p>
        </w:tc>
      </w:tr>
    </w:tbl>
    <w:p>
      <w:pPr>
        <w:ind w:firstLine="880" w:firstLineChars="200"/>
        <w:jc w:val="center"/>
        <w:rPr>
          <w:rFonts w:hint="eastAsia" w:asciiTheme="majorEastAsia" w:hAnsiTheme="majorEastAsia" w:eastAsiaTheme="majorEastAsia"/>
          <w:sz w:val="44"/>
          <w:szCs w:val="44"/>
        </w:rPr>
      </w:pPr>
    </w:p>
    <w:p>
      <w:pPr>
        <w:ind w:firstLine="880" w:firstLineChars="200"/>
        <w:jc w:val="center"/>
        <w:rPr>
          <w:rFonts w:hint="eastAsia" w:asciiTheme="majorEastAsia" w:hAnsiTheme="majorEastAsia" w:eastAsiaTheme="majorEastAsia"/>
          <w:sz w:val="44"/>
          <w:szCs w:val="44"/>
        </w:rPr>
      </w:pPr>
    </w:p>
    <w:p>
      <w:pPr>
        <w:jc w:val="both"/>
        <w:rPr>
          <w:rFonts w:hint="eastAsia" w:asciiTheme="majorEastAsia" w:hAnsiTheme="majorEastAsia" w:eastAsiaTheme="majorEastAsia"/>
          <w:sz w:val="44"/>
          <w:szCs w:val="44"/>
        </w:rPr>
      </w:pPr>
      <w:bookmarkStart w:id="0" w:name="_GoBack"/>
      <w:bookmarkEnd w:id="0"/>
    </w:p>
    <w:p>
      <w:pPr>
        <w:ind w:firstLine="880" w:firstLineChars="200"/>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一般公共预算财政拨款支出决算表</w:t>
      </w:r>
    </w:p>
    <w:tbl>
      <w:tblPr>
        <w:tblStyle w:val="7"/>
        <w:tblW w:w="11492" w:type="dxa"/>
        <w:tblInd w:w="2366" w:type="dxa"/>
        <w:tblLayout w:type="fixed"/>
        <w:tblCellMar>
          <w:top w:w="0" w:type="dxa"/>
          <w:left w:w="108" w:type="dxa"/>
          <w:bottom w:w="0" w:type="dxa"/>
          <w:right w:w="108" w:type="dxa"/>
        </w:tblCellMar>
      </w:tblPr>
      <w:tblGrid>
        <w:gridCol w:w="340"/>
        <w:gridCol w:w="340"/>
        <w:gridCol w:w="340"/>
        <w:gridCol w:w="3160"/>
        <w:gridCol w:w="2493"/>
        <w:gridCol w:w="2409"/>
        <w:gridCol w:w="2410"/>
      </w:tblGrid>
      <w:tr>
        <w:tblPrEx>
          <w:tblLayout w:type="fixed"/>
          <w:tblCellMar>
            <w:top w:w="0" w:type="dxa"/>
            <w:left w:w="108" w:type="dxa"/>
            <w:bottom w:w="0" w:type="dxa"/>
            <w:right w:w="108" w:type="dxa"/>
          </w:tblCellMar>
        </w:tblPrEx>
        <w:trPr>
          <w:trHeight w:val="300" w:hRule="atLeast"/>
        </w:trPr>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4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316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93"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0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1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公开05表</w:t>
            </w:r>
          </w:p>
        </w:tc>
      </w:tr>
      <w:tr>
        <w:tblPrEx>
          <w:tblLayout w:type="fixed"/>
          <w:tblCellMar>
            <w:top w:w="0" w:type="dxa"/>
            <w:left w:w="108" w:type="dxa"/>
            <w:bottom w:w="0" w:type="dxa"/>
            <w:right w:w="108" w:type="dxa"/>
          </w:tblCellMar>
        </w:tblPrEx>
        <w:trPr>
          <w:trHeight w:val="300" w:hRule="atLeast"/>
        </w:trPr>
        <w:tc>
          <w:tcPr>
            <w:tcW w:w="4180" w:type="dxa"/>
            <w:gridSpan w:val="4"/>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部门：武当山旅游经济特区教育局</w:t>
            </w:r>
          </w:p>
        </w:tc>
        <w:tc>
          <w:tcPr>
            <w:tcW w:w="2493"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09"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1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金额单位：万元</w:t>
            </w:r>
          </w:p>
        </w:tc>
      </w:tr>
      <w:tr>
        <w:tblPrEx>
          <w:tblLayout w:type="fixed"/>
          <w:tblCellMar>
            <w:top w:w="0" w:type="dxa"/>
            <w:left w:w="108" w:type="dxa"/>
            <w:bottom w:w="0" w:type="dxa"/>
            <w:right w:w="108" w:type="dxa"/>
          </w:tblCellMar>
        </w:tblPrEx>
        <w:trPr>
          <w:trHeight w:val="308" w:hRule="atLeast"/>
        </w:trPr>
        <w:tc>
          <w:tcPr>
            <w:tcW w:w="4180" w:type="dxa"/>
            <w:gridSpan w:val="4"/>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w:t>
            </w:r>
          </w:p>
        </w:tc>
        <w:tc>
          <w:tcPr>
            <w:tcW w:w="2493"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本年支出合计</w:t>
            </w:r>
          </w:p>
        </w:tc>
        <w:tc>
          <w:tcPr>
            <w:tcW w:w="2409"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 xml:space="preserve">基本支出  </w:t>
            </w:r>
          </w:p>
        </w:tc>
        <w:tc>
          <w:tcPr>
            <w:tcW w:w="2410" w:type="dxa"/>
            <w:vMerge w:val="restart"/>
            <w:tcBorders>
              <w:top w:val="single" w:color="000000" w:sz="8" w:space="0"/>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项目支出</w:t>
            </w:r>
          </w:p>
        </w:tc>
      </w:tr>
      <w:tr>
        <w:tblPrEx>
          <w:tblLayout w:type="fixed"/>
          <w:tblCellMar>
            <w:top w:w="0" w:type="dxa"/>
            <w:left w:w="108" w:type="dxa"/>
            <w:bottom w:w="0" w:type="dxa"/>
            <w:right w:w="108" w:type="dxa"/>
          </w:tblCellMar>
        </w:tblPrEx>
        <w:trPr>
          <w:trHeight w:val="312" w:hRule="atLeast"/>
        </w:trPr>
        <w:tc>
          <w:tcPr>
            <w:tcW w:w="1020" w:type="dxa"/>
            <w:gridSpan w:val="3"/>
            <w:vMerge w:val="restart"/>
            <w:tcBorders>
              <w:top w:val="single" w:color="000000" w:sz="4"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支出功能分类科目编码</w:t>
            </w:r>
          </w:p>
        </w:tc>
        <w:tc>
          <w:tcPr>
            <w:tcW w:w="316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科目名称</w:t>
            </w:r>
          </w:p>
        </w:tc>
        <w:tc>
          <w:tcPr>
            <w:tcW w:w="24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12" w:hRule="atLeast"/>
        </w:trPr>
        <w:tc>
          <w:tcPr>
            <w:tcW w:w="10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615" w:hRule="atLeast"/>
        </w:trPr>
        <w:tc>
          <w:tcPr>
            <w:tcW w:w="10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316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9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0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10"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308" w:hRule="atLeast"/>
        </w:trPr>
        <w:tc>
          <w:tcPr>
            <w:tcW w:w="4180" w:type="dxa"/>
            <w:gridSpan w:val="4"/>
            <w:tcBorders>
              <w:top w:val="single" w:color="000000" w:sz="4"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栏次</w:t>
            </w:r>
          </w:p>
        </w:tc>
        <w:tc>
          <w:tcPr>
            <w:tcW w:w="2493"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40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41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r>
      <w:tr>
        <w:tblPrEx>
          <w:tblLayout w:type="fixed"/>
          <w:tblCellMar>
            <w:top w:w="0" w:type="dxa"/>
            <w:left w:w="108" w:type="dxa"/>
            <w:bottom w:w="0" w:type="dxa"/>
            <w:right w:w="108" w:type="dxa"/>
          </w:tblCellMar>
        </w:tblPrEx>
        <w:trPr>
          <w:trHeight w:val="308" w:hRule="atLeast"/>
        </w:trPr>
        <w:tc>
          <w:tcPr>
            <w:tcW w:w="4180" w:type="dxa"/>
            <w:gridSpan w:val="4"/>
            <w:tcBorders>
              <w:top w:val="single" w:color="000000" w:sz="4"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1,083.23</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98.54</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984.69</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1,066.78</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82.09</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984.69</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教育管理事务</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119.16</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80.72</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38.44</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2050101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行政运行</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80.72</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80.72</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2050102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一般行政管理事务</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38.44</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38.44</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普通教育</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918.37</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917.00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学前教育</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6.05</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小学教育</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599.79</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1.37</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598.42</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2050203</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初中教育</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309.53</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309.53</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2050205</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高等教育</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3.00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教育费附加安排的支出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29.25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29.25</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2050902</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农村中小学教学设施</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29.25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29.25</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社会保障和就业支出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10.55</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行政事业单位离退休</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9.55</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2080501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归口管理的行政单位离退休</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9.55</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9.55</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其他社会保障和就业支出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2089901</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其他社会保障和就业支出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1.00</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医疗卫生与计划生育支出</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21005</w:t>
            </w:r>
          </w:p>
        </w:tc>
        <w:tc>
          <w:tcPr>
            <w:tcW w:w="316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医疗保障</w:t>
            </w:r>
          </w:p>
        </w:tc>
        <w:tc>
          <w:tcPr>
            <w:tcW w:w="249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0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1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0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2100501</w:t>
            </w:r>
          </w:p>
        </w:tc>
        <w:tc>
          <w:tcPr>
            <w:tcW w:w="316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eastAsia="宋体" w:cs="Arial"/>
                <w:color w:val="000000"/>
                <w:kern w:val="0"/>
                <w:sz w:val="22"/>
              </w:rPr>
            </w:pPr>
            <w:r>
              <w:rPr>
                <w:rFonts w:hint="eastAsia" w:ascii="宋体" w:hAnsi="宋体" w:eastAsia="宋体" w:cs="Arial"/>
                <w:color w:val="000000"/>
                <w:kern w:val="0"/>
                <w:sz w:val="22"/>
              </w:rPr>
              <w:t xml:space="preserve">  行政单位医疗</w:t>
            </w:r>
          </w:p>
        </w:tc>
        <w:tc>
          <w:tcPr>
            <w:tcW w:w="249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0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5.90</w:t>
            </w:r>
          </w:p>
        </w:tc>
        <w:tc>
          <w:tcPr>
            <w:tcW w:w="241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r>
      <w:tr>
        <w:tblPrEx>
          <w:tblLayout w:type="fixed"/>
          <w:tblCellMar>
            <w:top w:w="0" w:type="dxa"/>
            <w:left w:w="108" w:type="dxa"/>
            <w:bottom w:w="0" w:type="dxa"/>
            <w:right w:w="108" w:type="dxa"/>
          </w:tblCellMar>
        </w:tblPrEx>
        <w:trPr>
          <w:trHeight w:val="308" w:hRule="atLeast"/>
        </w:trPr>
        <w:tc>
          <w:tcPr>
            <w:tcW w:w="11492" w:type="dxa"/>
            <w:gridSpan w:val="7"/>
            <w:tcBorders>
              <w:top w:val="single" w:color="000000" w:sz="4" w:space="0"/>
              <w:left w:val="single" w:color="000000" w:sz="8" w:space="0"/>
              <w:bottom w:val="nil"/>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注：本表反映部门本年度一般公共预算财政拨款实际支出情况。</w:t>
            </w:r>
          </w:p>
        </w:tc>
      </w:tr>
    </w:tbl>
    <w:p>
      <w:pPr>
        <w:ind w:firstLine="880" w:firstLineChars="200"/>
        <w:jc w:val="center"/>
        <w:rPr>
          <w:rFonts w:hint="eastAsia" w:asciiTheme="majorEastAsia" w:hAnsiTheme="majorEastAsia" w:eastAsiaTheme="majorEastAsia"/>
          <w:sz w:val="44"/>
          <w:szCs w:val="44"/>
        </w:rPr>
      </w:pPr>
    </w:p>
    <w:p>
      <w:pPr>
        <w:ind w:firstLine="880" w:firstLineChars="200"/>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一般公共预算财政拨款“三公”经费支出决算表</w:t>
      </w:r>
    </w:p>
    <w:tbl>
      <w:tblPr>
        <w:tblStyle w:val="7"/>
        <w:tblW w:w="14520" w:type="dxa"/>
        <w:tblInd w:w="93" w:type="dxa"/>
        <w:tblLayout w:type="fixed"/>
        <w:tblCellMar>
          <w:top w:w="0" w:type="dxa"/>
          <w:left w:w="108" w:type="dxa"/>
          <w:bottom w:w="0" w:type="dxa"/>
          <w:right w:w="108" w:type="dxa"/>
        </w:tblCellMar>
      </w:tblPr>
      <w:tblGrid>
        <w:gridCol w:w="2420"/>
        <w:gridCol w:w="2420"/>
        <w:gridCol w:w="2420"/>
        <w:gridCol w:w="2420"/>
        <w:gridCol w:w="2420"/>
        <w:gridCol w:w="2420"/>
      </w:tblGrid>
      <w:tr>
        <w:tblPrEx>
          <w:tblLayout w:type="fixed"/>
          <w:tblCellMar>
            <w:top w:w="0" w:type="dxa"/>
            <w:left w:w="108" w:type="dxa"/>
            <w:bottom w:w="0" w:type="dxa"/>
            <w:right w:w="108" w:type="dxa"/>
          </w:tblCellMar>
        </w:tblPrEx>
        <w:trPr>
          <w:trHeight w:val="255" w:hRule="atLeast"/>
        </w:trPr>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公开07表</w:t>
            </w:r>
          </w:p>
        </w:tc>
      </w:tr>
      <w:tr>
        <w:tblPrEx>
          <w:tblLayout w:type="fixed"/>
          <w:tblCellMar>
            <w:top w:w="0" w:type="dxa"/>
            <w:left w:w="108" w:type="dxa"/>
            <w:bottom w:w="0" w:type="dxa"/>
            <w:right w:w="108" w:type="dxa"/>
          </w:tblCellMar>
        </w:tblPrEx>
        <w:trPr>
          <w:trHeight w:val="255" w:hRule="atLeast"/>
        </w:trPr>
        <w:tc>
          <w:tcPr>
            <w:tcW w:w="4840" w:type="dxa"/>
            <w:gridSpan w:val="2"/>
            <w:tcBorders>
              <w:top w:val="nil"/>
              <w:left w:val="nil"/>
              <w:bottom w:val="nil"/>
              <w:right w:val="nil"/>
            </w:tcBorders>
            <w:shd w:val="clear" w:color="auto" w:fill="auto"/>
            <w:vAlign w:val="bottom"/>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编制单位：武当山旅游经济特区教育局</w:t>
            </w: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left"/>
              <w:rPr>
                <w:rFonts w:ascii="Arial" w:hAnsi="Arial" w:eastAsia="宋体" w:cs="Arial"/>
                <w:color w:val="000000"/>
                <w:kern w:val="0"/>
                <w:sz w:val="20"/>
                <w:szCs w:val="20"/>
              </w:rPr>
            </w:pPr>
          </w:p>
        </w:tc>
        <w:tc>
          <w:tcPr>
            <w:tcW w:w="2420" w:type="dxa"/>
            <w:tcBorders>
              <w:top w:val="nil"/>
              <w:left w:val="nil"/>
              <w:bottom w:val="nil"/>
              <w:right w:val="nil"/>
            </w:tcBorders>
            <w:shd w:val="clear" w:color="auto" w:fill="auto"/>
            <w:vAlign w:val="bottom"/>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570" w:hRule="atLeast"/>
        </w:trPr>
        <w:tc>
          <w:tcPr>
            <w:tcW w:w="14520" w:type="dxa"/>
            <w:gridSpan w:val="6"/>
            <w:tcBorders>
              <w:top w:val="single" w:color="000000" w:sz="8" w:space="0"/>
              <w:left w:val="single" w:color="000000" w:sz="8" w:space="0"/>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2015年度决算数</w:t>
            </w:r>
          </w:p>
        </w:tc>
      </w:tr>
      <w:tr>
        <w:tblPrEx>
          <w:tblLayout w:type="fixed"/>
          <w:tblCellMar>
            <w:top w:w="0" w:type="dxa"/>
            <w:left w:w="108" w:type="dxa"/>
            <w:bottom w:w="0" w:type="dxa"/>
            <w:right w:w="108" w:type="dxa"/>
          </w:tblCellMar>
        </w:tblPrEx>
        <w:trPr>
          <w:trHeight w:val="615" w:hRule="atLeast"/>
        </w:trPr>
        <w:tc>
          <w:tcPr>
            <w:tcW w:w="2420" w:type="dxa"/>
            <w:vMerge w:val="restart"/>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合计</w:t>
            </w:r>
          </w:p>
        </w:tc>
        <w:tc>
          <w:tcPr>
            <w:tcW w:w="24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因公出国（境）费</w:t>
            </w:r>
          </w:p>
        </w:tc>
        <w:tc>
          <w:tcPr>
            <w:tcW w:w="7260"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公务用车购置及运行费</w:t>
            </w:r>
          </w:p>
        </w:tc>
        <w:tc>
          <w:tcPr>
            <w:tcW w:w="2420" w:type="dxa"/>
            <w:vMerge w:val="restart"/>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公务接待费</w:t>
            </w:r>
          </w:p>
        </w:tc>
      </w:tr>
      <w:tr>
        <w:tblPrEx>
          <w:tblLayout w:type="fixed"/>
          <w:tblCellMar>
            <w:top w:w="0" w:type="dxa"/>
            <w:left w:w="108" w:type="dxa"/>
            <w:bottom w:w="0" w:type="dxa"/>
            <w:right w:w="108" w:type="dxa"/>
          </w:tblCellMar>
        </w:tblPrEx>
        <w:trPr>
          <w:trHeight w:val="615" w:hRule="atLeast"/>
        </w:trPr>
        <w:tc>
          <w:tcPr>
            <w:tcW w:w="242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20" w:type="dxa"/>
            <w:vMerge w:val="continue"/>
            <w:tcBorders>
              <w:top w:val="nil"/>
              <w:left w:val="nil"/>
              <w:bottom w:val="single" w:color="000000" w:sz="4" w:space="0"/>
              <w:right w:val="single" w:color="000000" w:sz="4" w:space="0"/>
            </w:tcBorders>
            <w:vAlign w:val="center"/>
          </w:tcPr>
          <w:p>
            <w:pPr>
              <w:widowControl/>
              <w:jc w:val="left"/>
              <w:rPr>
                <w:rFonts w:ascii="宋体" w:hAnsi="宋体" w:eastAsia="宋体" w:cs="Arial"/>
                <w:color w:val="000000"/>
                <w:kern w:val="0"/>
                <w:sz w:val="22"/>
              </w:rPr>
            </w:pP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小计</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购置费</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公务用车</w:t>
            </w:r>
            <w:r>
              <w:rPr>
                <w:rFonts w:hint="eastAsia" w:ascii="宋体" w:hAnsi="宋体" w:eastAsia="宋体" w:cs="Arial"/>
                <w:color w:val="000000"/>
                <w:kern w:val="0"/>
                <w:sz w:val="22"/>
              </w:rPr>
              <w:br w:type="textWrapping"/>
            </w:r>
            <w:r>
              <w:rPr>
                <w:rFonts w:hint="eastAsia" w:ascii="宋体" w:hAnsi="宋体" w:eastAsia="宋体" w:cs="Arial"/>
                <w:color w:val="000000"/>
                <w:kern w:val="0"/>
                <w:sz w:val="22"/>
              </w:rPr>
              <w:t>运行费</w:t>
            </w:r>
          </w:p>
        </w:tc>
        <w:tc>
          <w:tcPr>
            <w:tcW w:w="2420" w:type="dxa"/>
            <w:vMerge w:val="continue"/>
            <w:tcBorders>
              <w:top w:val="nil"/>
              <w:left w:val="nil"/>
              <w:bottom w:val="single" w:color="000000" w:sz="4" w:space="0"/>
              <w:right w:val="single" w:color="000000" w:sz="8" w:space="0"/>
            </w:tcBorders>
            <w:vAlign w:val="center"/>
          </w:tcPr>
          <w:p>
            <w:pPr>
              <w:widowControl/>
              <w:jc w:val="left"/>
              <w:rPr>
                <w:rFonts w:ascii="宋体" w:hAnsi="宋体" w:eastAsia="宋体" w:cs="Arial"/>
                <w:color w:val="000000"/>
                <w:kern w:val="0"/>
                <w:sz w:val="22"/>
              </w:rPr>
            </w:pPr>
          </w:p>
        </w:tc>
      </w:tr>
      <w:tr>
        <w:tblPrEx>
          <w:tblLayout w:type="fixed"/>
          <w:tblCellMar>
            <w:top w:w="0" w:type="dxa"/>
            <w:left w:w="108" w:type="dxa"/>
            <w:bottom w:w="0" w:type="dxa"/>
            <w:right w:w="108" w:type="dxa"/>
          </w:tblCellMar>
        </w:tblPrEx>
        <w:trPr>
          <w:trHeight w:val="570" w:hRule="atLeast"/>
        </w:trPr>
        <w:tc>
          <w:tcPr>
            <w:tcW w:w="2420"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1</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3</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4</w:t>
            </w:r>
          </w:p>
        </w:tc>
        <w:tc>
          <w:tcPr>
            <w:tcW w:w="2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5</w:t>
            </w:r>
          </w:p>
        </w:tc>
        <w:tc>
          <w:tcPr>
            <w:tcW w:w="2420" w:type="dxa"/>
            <w:tcBorders>
              <w:top w:val="nil"/>
              <w:left w:val="nil"/>
              <w:bottom w:val="single" w:color="000000" w:sz="4" w:space="0"/>
              <w:right w:val="single" w:color="000000" w:sz="8" w:space="0"/>
            </w:tcBorders>
            <w:shd w:val="clear" w:color="FFFFFF" w:fill="C0C0C0"/>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6</w:t>
            </w:r>
          </w:p>
        </w:tc>
      </w:tr>
      <w:tr>
        <w:tblPrEx>
          <w:tblLayout w:type="fixed"/>
          <w:tblCellMar>
            <w:top w:w="0" w:type="dxa"/>
            <w:left w:w="108" w:type="dxa"/>
            <w:bottom w:w="0" w:type="dxa"/>
            <w:right w:w="108" w:type="dxa"/>
          </w:tblCellMar>
        </w:tblPrEx>
        <w:trPr>
          <w:trHeight w:val="878" w:hRule="atLeast"/>
        </w:trPr>
        <w:tc>
          <w:tcPr>
            <w:tcW w:w="2420" w:type="dxa"/>
            <w:tcBorders>
              <w:top w:val="nil"/>
              <w:left w:val="single" w:color="000000" w:sz="8" w:space="0"/>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2.54</w:t>
            </w:r>
          </w:p>
        </w:tc>
        <w:tc>
          <w:tcPr>
            <w:tcW w:w="24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w:t>
            </w:r>
          </w:p>
        </w:tc>
        <w:tc>
          <w:tcPr>
            <w:tcW w:w="24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　</w:t>
            </w:r>
          </w:p>
        </w:tc>
        <w:tc>
          <w:tcPr>
            <w:tcW w:w="242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1.83</w:t>
            </w:r>
          </w:p>
        </w:tc>
        <w:tc>
          <w:tcPr>
            <w:tcW w:w="242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0.71</w:t>
            </w:r>
          </w:p>
        </w:tc>
      </w:tr>
      <w:tr>
        <w:tblPrEx>
          <w:tblLayout w:type="fixed"/>
          <w:tblCellMar>
            <w:top w:w="0" w:type="dxa"/>
            <w:left w:w="108" w:type="dxa"/>
            <w:bottom w:w="0" w:type="dxa"/>
            <w:right w:w="108" w:type="dxa"/>
          </w:tblCellMar>
        </w:tblPrEx>
        <w:trPr>
          <w:trHeight w:val="923" w:hRule="atLeast"/>
        </w:trPr>
        <w:tc>
          <w:tcPr>
            <w:tcW w:w="14520" w:type="dxa"/>
            <w:gridSpan w:val="6"/>
            <w:tcBorders>
              <w:top w:val="single" w:color="000000" w:sz="4" w:space="0"/>
              <w:left w:val="single" w:color="000000" w:sz="8" w:space="0"/>
              <w:bottom w:val="nil"/>
              <w:right w:val="nil"/>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注：2015年度“三公”经费决算数是包括当年一般公共预算财政拨款和以前年度结转资金安排的实际支出。</w:t>
            </w:r>
          </w:p>
        </w:tc>
      </w:tr>
    </w:tbl>
    <w:p>
      <w:pPr>
        <w:ind w:firstLine="600" w:firstLineChars="200"/>
        <w:rPr>
          <w:rFonts w:ascii="华文仿宋" w:hAnsi="华文仿宋" w:eastAsia="华文仿宋"/>
          <w:sz w:val="30"/>
          <w:szCs w:val="30"/>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67"/>
    <w:rsid w:val="000528DF"/>
    <w:rsid w:val="000B1D4E"/>
    <w:rsid w:val="000D414F"/>
    <w:rsid w:val="0012392F"/>
    <w:rsid w:val="001276F3"/>
    <w:rsid w:val="00181D48"/>
    <w:rsid w:val="00194BF2"/>
    <w:rsid w:val="001B4927"/>
    <w:rsid w:val="00203A74"/>
    <w:rsid w:val="00233510"/>
    <w:rsid w:val="00244D70"/>
    <w:rsid w:val="002E7AB3"/>
    <w:rsid w:val="003149C9"/>
    <w:rsid w:val="00336A0C"/>
    <w:rsid w:val="003410FE"/>
    <w:rsid w:val="003418A1"/>
    <w:rsid w:val="00357E0F"/>
    <w:rsid w:val="00374A77"/>
    <w:rsid w:val="003D2412"/>
    <w:rsid w:val="003F726D"/>
    <w:rsid w:val="00414550"/>
    <w:rsid w:val="0045184A"/>
    <w:rsid w:val="00492668"/>
    <w:rsid w:val="00496132"/>
    <w:rsid w:val="004C03F7"/>
    <w:rsid w:val="004F34FB"/>
    <w:rsid w:val="005368AC"/>
    <w:rsid w:val="005500AB"/>
    <w:rsid w:val="0056714F"/>
    <w:rsid w:val="005B60A5"/>
    <w:rsid w:val="005C71C2"/>
    <w:rsid w:val="005E14F8"/>
    <w:rsid w:val="0064461D"/>
    <w:rsid w:val="00684647"/>
    <w:rsid w:val="006878AC"/>
    <w:rsid w:val="006915A5"/>
    <w:rsid w:val="007A68A5"/>
    <w:rsid w:val="007F141D"/>
    <w:rsid w:val="00841528"/>
    <w:rsid w:val="008946C3"/>
    <w:rsid w:val="00897336"/>
    <w:rsid w:val="008C3E7E"/>
    <w:rsid w:val="00951561"/>
    <w:rsid w:val="00990EF0"/>
    <w:rsid w:val="009F759C"/>
    <w:rsid w:val="00A31305"/>
    <w:rsid w:val="00A64851"/>
    <w:rsid w:val="00AA7D79"/>
    <w:rsid w:val="00AB5897"/>
    <w:rsid w:val="00B16B73"/>
    <w:rsid w:val="00B44635"/>
    <w:rsid w:val="00B55AD0"/>
    <w:rsid w:val="00B66673"/>
    <w:rsid w:val="00B91D00"/>
    <w:rsid w:val="00BE4E68"/>
    <w:rsid w:val="00BF3FA3"/>
    <w:rsid w:val="00BF5D14"/>
    <w:rsid w:val="00C30181"/>
    <w:rsid w:val="00C320CD"/>
    <w:rsid w:val="00C43455"/>
    <w:rsid w:val="00C8111E"/>
    <w:rsid w:val="00D4029C"/>
    <w:rsid w:val="00D54349"/>
    <w:rsid w:val="00D6651B"/>
    <w:rsid w:val="00DA1C6A"/>
    <w:rsid w:val="00DA7D67"/>
    <w:rsid w:val="00DB0BE9"/>
    <w:rsid w:val="00DB4D13"/>
    <w:rsid w:val="00E910A8"/>
    <w:rsid w:val="00EB5D1A"/>
    <w:rsid w:val="00EC58C6"/>
    <w:rsid w:val="00ED0F00"/>
    <w:rsid w:val="00ED1905"/>
    <w:rsid w:val="00F16156"/>
    <w:rsid w:val="00F26678"/>
    <w:rsid w:val="00F41952"/>
    <w:rsid w:val="00F5537B"/>
    <w:rsid w:val="00F76C1B"/>
    <w:rsid w:val="00FB1F3D"/>
    <w:rsid w:val="0DA3683A"/>
    <w:rsid w:val="413825E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765</Words>
  <Characters>4363</Characters>
  <Lines>36</Lines>
  <Paragraphs>10</Paragraphs>
  <ScaleCrop>false</ScaleCrop>
  <LinksUpToDate>false</LinksUpToDate>
  <CharactersWithSpaces>5118</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2016-09-08T02:40:00Z</dcterms:created>
  <dc:creator>jicaike</dc:creator>
  <cp:lastModifiedBy>Administrator</cp:lastModifiedBy>
  <dcterms:modified xsi:type="dcterms:W3CDTF">2016-09-28T01:01:41Z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